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2D99" w:rsidRPr="003C2D99" w:rsidRDefault="003C2D99" w:rsidP="003C2D99">
      <w:pPr>
        <w:jc w:val="center"/>
        <w:rPr>
          <w:color w:val="FF0000"/>
          <w:sz w:val="24"/>
          <w:szCs w:val="24"/>
          <w:u w:val="single"/>
        </w:rPr>
      </w:pPr>
      <w:r w:rsidRPr="003C2D99">
        <w:rPr>
          <w:rFonts w:asciiTheme="majorHAnsi" w:eastAsia="Times New Roman" w:hAnsiTheme="majorHAnsi" w:cs="Arial"/>
          <w:b/>
          <w:bCs/>
          <w:color w:val="FF0000"/>
          <w:sz w:val="24"/>
          <w:szCs w:val="24"/>
          <w:u w:val="single"/>
        </w:rPr>
        <w:t>Uzupełnienie do założeń technicznych –wymagania szczegółowe dla falowników</w:t>
      </w:r>
    </w:p>
    <w:tbl>
      <w:tblPr>
        <w:tblW w:w="5529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29"/>
      </w:tblGrid>
      <w:tr w:rsidR="00450B9E" w:rsidRPr="00BA4B15" w:rsidTr="003C2D99">
        <w:trPr>
          <w:trHeight w:val="26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B9E" w:rsidRPr="00BA4B15" w:rsidRDefault="009D4C3D" w:rsidP="00F94CCE">
            <w:pPr>
              <w:spacing w:before="0" w:after="0" w:line="240" w:lineRule="auto"/>
              <w:rPr>
                <w:rFonts w:asciiTheme="majorHAnsi" w:eastAsia="Times New Roman" w:hAnsiTheme="majorHAnsi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ajorHAnsi" w:eastAsia="Times New Roman" w:hAnsiTheme="majorHAnsi" w:cs="Arial"/>
                <w:b/>
                <w:bCs/>
                <w:color w:val="000000"/>
                <w:sz w:val="16"/>
                <w:szCs w:val="16"/>
              </w:rPr>
              <w:t>Instalacja trzyfazowa 5-9</w:t>
            </w:r>
            <w:r w:rsidR="00450B9E" w:rsidRPr="00BA4B15">
              <w:rPr>
                <w:rFonts w:asciiTheme="majorHAnsi" w:eastAsia="Times New Roman" w:hAnsiTheme="majorHAnsi" w:cs="Arial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450B9E" w:rsidRPr="00BA4B15">
              <w:rPr>
                <w:rFonts w:asciiTheme="majorHAnsi" w:eastAsia="Times New Roman" w:hAnsiTheme="majorHAnsi" w:cs="Arial"/>
                <w:b/>
                <w:bCs/>
                <w:color w:val="000000"/>
                <w:sz w:val="16"/>
                <w:szCs w:val="16"/>
              </w:rPr>
              <w:t>kWp</w:t>
            </w:r>
            <w:proofErr w:type="spellEnd"/>
          </w:p>
        </w:tc>
      </w:tr>
      <w:tr w:rsidR="00450B9E" w:rsidRPr="00BA4B15" w:rsidTr="003C2D99">
        <w:trPr>
          <w:trHeight w:val="220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B9E" w:rsidRPr="00BA4B15" w:rsidRDefault="00450B9E" w:rsidP="00F94CCE">
            <w:pPr>
              <w:spacing w:before="0"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BA4B15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W instalacji fotowoltaicznej należy zastosować inwertery mające na celu przetworzenie prądu stałego produkowanego przez panele fotowoltaiczne na prąd przemienny zgodny z parametrami sieci elektroenergetycznej. Dobór inwertera do mocy paneli fotowoltaicznych określony i opisany powinien być w projekcie instalacji fotowoltaicznej. Moc inwertera w stosunku do mocy paneli fotowoltaicznych powinna zawierać się w zakresie 80% - 110%. Projektant w doborze inwertera powinien kierować się odpowiednimi parametrami elektrycznymi urządzeń systemu, a także parametrami indywidualnymi dla każdej instalacji fotowoltaicznej (lokalizacja, azymut, kąt nachylenia modułów, zmienne warunki nasłonecznienia lub okresowe zacienienie)</w:t>
            </w:r>
          </w:p>
        </w:tc>
        <w:bookmarkStart w:id="0" w:name="_GoBack"/>
        <w:bookmarkEnd w:id="0"/>
      </w:tr>
      <w:tr w:rsidR="00450B9E" w:rsidRPr="00BA4B15" w:rsidTr="003C2D99">
        <w:trPr>
          <w:trHeight w:val="608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B9E" w:rsidRPr="00BA4B15" w:rsidRDefault="00450B9E" w:rsidP="009D4C3D">
            <w:pPr>
              <w:spacing w:before="0"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BA4B15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 xml:space="preserve">Urządzenia powinny pracować z pełną wydajnością w zakresie temperatur od </w:t>
            </w:r>
            <w:proofErr w:type="spellStart"/>
            <w:r w:rsidRPr="00BA4B15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od</w:t>
            </w:r>
            <w:proofErr w:type="spellEnd"/>
            <w:r w:rsidRPr="00BA4B15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 xml:space="preserve"> -</w:t>
            </w:r>
            <w:r w:rsidR="009D4C3D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40</w:t>
            </w:r>
            <w:r w:rsidRPr="00BA4B15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°C do +60 °C</w:t>
            </w:r>
          </w:p>
        </w:tc>
      </w:tr>
      <w:tr w:rsidR="00450B9E" w:rsidRPr="00BA4B15" w:rsidTr="003C2D99">
        <w:trPr>
          <w:trHeight w:val="78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B9E" w:rsidRPr="00BA4B15" w:rsidRDefault="00450B9E" w:rsidP="00F94CCE">
            <w:pPr>
              <w:spacing w:before="0" w:after="24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BA4B15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Inwertery powinny zostać wyposażone w system umożliwiający pomiar izolacji w części DC, pozwalający wyeliminować uszkodzenia w okablowaniu paneli fotowoltaicznych, jak również w samych panelach dając wysokie bezpieczeństwo użytkowania.</w:t>
            </w:r>
          </w:p>
        </w:tc>
      </w:tr>
      <w:tr w:rsidR="00450B9E" w:rsidRPr="00BA4B15" w:rsidTr="003C2D99">
        <w:trPr>
          <w:trHeight w:val="88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B9E" w:rsidRPr="00BA4B15" w:rsidRDefault="00450B9E" w:rsidP="00F94CCE">
            <w:pPr>
              <w:spacing w:before="0"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BA4B15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Urządzenie powinno być wyposażone w ochronę  przed zamianą polaryzacji DC, zabezpieczenie przeciwzwarciowe AC, a także jednostkę monitorowania prądu różnicowego na wszystkich biegunach (RCMU)</w:t>
            </w:r>
          </w:p>
        </w:tc>
      </w:tr>
      <w:tr w:rsidR="00450B9E" w:rsidRPr="00BA4B15" w:rsidTr="003C2D99">
        <w:trPr>
          <w:trHeight w:val="1267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B9E" w:rsidRPr="00BA4B15" w:rsidRDefault="00450B9E" w:rsidP="00F94CCE">
            <w:pPr>
              <w:spacing w:before="0"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BA4B15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Z uwagi na zmienne warunki nasłonecznienia w warunkach polskich lub okresowe zacienienie, wszystkie falowniki powinny być wyposażone w algorytm zapobiegający lokalnym odczytom punktu mocy maksymalnej w charakterystyce prądowo-napięciowej zainstalowanych modułów, wyszukując  tym samym rzeczywisty globalny maksymalny punkt mocy w całym stringu</w:t>
            </w:r>
          </w:p>
        </w:tc>
      </w:tr>
      <w:tr w:rsidR="00450B9E" w:rsidRPr="00BA4B15" w:rsidTr="003C2D99">
        <w:trPr>
          <w:trHeight w:val="104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B9E" w:rsidRPr="00BA4B15" w:rsidRDefault="00450B9E" w:rsidP="00F94CCE">
            <w:pPr>
              <w:spacing w:before="0"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BA4B15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 xml:space="preserve">Sprawność maksymalna - minimum 98% z zastrzeżeniem, </w:t>
            </w:r>
            <w:proofErr w:type="spellStart"/>
            <w:r w:rsidRPr="00BA4B15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żę</w:t>
            </w:r>
            <w:proofErr w:type="spellEnd"/>
            <w:r w:rsidRPr="00BA4B15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 xml:space="preserve"> sprawność minimum 97% musi być osiągana już przy obciążeniu na poziomie 20%. Sprawność europejska - minimum 97%</w:t>
            </w:r>
          </w:p>
        </w:tc>
      </w:tr>
      <w:tr w:rsidR="00450B9E" w:rsidRPr="00BA4B15" w:rsidTr="003C2D99">
        <w:trPr>
          <w:trHeight w:val="1059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B9E" w:rsidRPr="00BA4B15" w:rsidRDefault="00450B9E" w:rsidP="00F94CCE">
            <w:pPr>
              <w:spacing w:before="0"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BA4B15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 xml:space="preserve">Inwerter powinien współpracować z inteligentnym licznikiem energii umożliwiającym trójfazowy odczyt energii oddanej i pobranej z sieci oraz </w:t>
            </w:r>
            <w:proofErr w:type="spellStart"/>
            <w:r w:rsidRPr="00BA4B15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możliwościa</w:t>
            </w:r>
            <w:proofErr w:type="spellEnd"/>
            <w:r w:rsidRPr="00BA4B15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 xml:space="preserve"> prezentowania wyników w internetowym i mobilnym systemie monitoringu inwertera.</w:t>
            </w:r>
          </w:p>
        </w:tc>
      </w:tr>
      <w:tr w:rsidR="00450B9E" w:rsidRPr="00BA4B15" w:rsidTr="003C2D99">
        <w:trPr>
          <w:trHeight w:val="28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B9E" w:rsidRPr="00BA4B15" w:rsidRDefault="00450B9E" w:rsidP="00F94CCE">
            <w:pPr>
              <w:spacing w:before="0"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BA4B15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Maksymalne napięcie wejściowe - 1000V</w:t>
            </w:r>
          </w:p>
        </w:tc>
      </w:tr>
      <w:tr w:rsidR="00450B9E" w:rsidRPr="00BA4B15" w:rsidTr="003C2D99">
        <w:trPr>
          <w:trHeight w:val="28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B9E" w:rsidRPr="00BA4B15" w:rsidRDefault="00450B9E" w:rsidP="00F94CCE">
            <w:pPr>
              <w:spacing w:before="0"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BA4B15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Znamionowe napięcie wejściowe - 580V</w:t>
            </w:r>
          </w:p>
        </w:tc>
      </w:tr>
      <w:tr w:rsidR="00450B9E" w:rsidRPr="00BA4B15" w:rsidTr="003C2D99">
        <w:trPr>
          <w:trHeight w:val="28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B9E" w:rsidRPr="00BA4B15" w:rsidRDefault="00450B9E" w:rsidP="00F94CCE">
            <w:pPr>
              <w:spacing w:before="0"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BA4B15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Minimalne napięcie wejściowe - 150V</w:t>
            </w:r>
          </w:p>
        </w:tc>
      </w:tr>
      <w:tr w:rsidR="00450B9E" w:rsidRPr="00BA4B15" w:rsidTr="003C2D99">
        <w:trPr>
          <w:trHeight w:val="28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B9E" w:rsidRPr="00BA4B15" w:rsidRDefault="00450B9E" w:rsidP="00F94CCE">
            <w:pPr>
              <w:spacing w:before="0"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BA4B15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Liczba wejść MPP - min. 2</w:t>
            </w:r>
          </w:p>
        </w:tc>
      </w:tr>
      <w:tr w:rsidR="00450B9E" w:rsidRPr="00BA4B15" w:rsidTr="003C2D99">
        <w:trPr>
          <w:trHeight w:val="28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B9E" w:rsidRPr="00BA4B15" w:rsidRDefault="00450B9E" w:rsidP="00F94CCE">
            <w:pPr>
              <w:spacing w:before="0"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BA4B15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Napięcie znamionowe AC - 380V/400V/415V</w:t>
            </w:r>
          </w:p>
        </w:tc>
      </w:tr>
      <w:tr w:rsidR="00450B9E" w:rsidRPr="00BA4B15" w:rsidTr="003C2D99">
        <w:trPr>
          <w:trHeight w:val="28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B9E" w:rsidRPr="00BA4B15" w:rsidRDefault="00450B9E" w:rsidP="00F94CCE">
            <w:pPr>
              <w:spacing w:before="0"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BA4B15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Zakres napięcia znamionowego - 180V-280V</w:t>
            </w:r>
          </w:p>
        </w:tc>
      </w:tr>
      <w:tr w:rsidR="00450B9E" w:rsidRPr="00BA4B15" w:rsidTr="003C2D99">
        <w:trPr>
          <w:trHeight w:val="28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B9E" w:rsidRPr="00BA4B15" w:rsidRDefault="00450B9E" w:rsidP="00F94CCE">
            <w:pPr>
              <w:spacing w:before="0"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BA4B15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Maksymalny prąd wyjściowy - 7A - 17,5A</w:t>
            </w:r>
          </w:p>
        </w:tc>
      </w:tr>
      <w:tr w:rsidR="00450B9E" w:rsidRPr="00BA4B15" w:rsidTr="003C2D99">
        <w:trPr>
          <w:trHeight w:val="28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B9E" w:rsidRPr="00BA4B15" w:rsidRDefault="00450B9E" w:rsidP="00F94CCE">
            <w:pPr>
              <w:spacing w:before="0"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BA4B15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Częstotliwość sieci AC - 50Hz</w:t>
            </w:r>
          </w:p>
        </w:tc>
      </w:tr>
      <w:tr w:rsidR="00450B9E" w:rsidRPr="00BA4B15" w:rsidTr="003C2D99">
        <w:trPr>
          <w:trHeight w:val="28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B9E" w:rsidRPr="00BA4B15" w:rsidRDefault="00450B9E" w:rsidP="00F94CCE">
            <w:pPr>
              <w:spacing w:before="0"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BA4B15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Liczba zasilanych faz - 3</w:t>
            </w:r>
          </w:p>
        </w:tc>
      </w:tr>
      <w:tr w:rsidR="00450B9E" w:rsidRPr="00BA4B15" w:rsidTr="003C2D99">
        <w:trPr>
          <w:trHeight w:val="28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B9E" w:rsidRPr="00BA4B15" w:rsidRDefault="00450B9E" w:rsidP="00F94CCE">
            <w:pPr>
              <w:spacing w:before="0"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BA4B15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Współczynnik przesuwu fazowego - 0,8/0,8</w:t>
            </w:r>
          </w:p>
        </w:tc>
      </w:tr>
      <w:tr w:rsidR="00450B9E" w:rsidRPr="00BA4B15" w:rsidTr="003C2D99">
        <w:trPr>
          <w:trHeight w:val="28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B9E" w:rsidRPr="00BA4B15" w:rsidRDefault="00450B9E" w:rsidP="00F94CCE">
            <w:pPr>
              <w:spacing w:before="0"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BA4B15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Rozłącznik DC</w:t>
            </w:r>
          </w:p>
        </w:tc>
      </w:tr>
      <w:tr w:rsidR="00450B9E" w:rsidRPr="00BA4B15" w:rsidTr="003C2D99">
        <w:trPr>
          <w:trHeight w:val="52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B9E" w:rsidRPr="00BA4B15" w:rsidRDefault="00450B9E" w:rsidP="00F94CCE">
            <w:pPr>
              <w:spacing w:before="0"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BA4B15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Zdolność ciągłego monitorowania parametrów sieci publicznej</w:t>
            </w:r>
          </w:p>
        </w:tc>
      </w:tr>
      <w:tr w:rsidR="00450B9E" w:rsidRPr="00BA4B15" w:rsidTr="003C2D99">
        <w:trPr>
          <w:trHeight w:val="28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B9E" w:rsidRPr="00BA4B15" w:rsidRDefault="00450B9E" w:rsidP="00F94CCE">
            <w:pPr>
              <w:spacing w:before="0"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BA4B15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Ochrona przed niewłaściwą biegunowością DC</w:t>
            </w:r>
          </w:p>
        </w:tc>
      </w:tr>
      <w:tr w:rsidR="00450B9E" w:rsidRPr="00BA4B15" w:rsidTr="003C2D99">
        <w:trPr>
          <w:trHeight w:val="28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B9E" w:rsidRPr="00BA4B15" w:rsidRDefault="00450B9E" w:rsidP="00F94CCE">
            <w:pPr>
              <w:spacing w:before="0"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BA4B15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Zabezpieczenie przeciwzwarciowe AC</w:t>
            </w:r>
          </w:p>
        </w:tc>
      </w:tr>
      <w:tr w:rsidR="00450B9E" w:rsidRPr="00BA4B15" w:rsidTr="003C2D99">
        <w:trPr>
          <w:trHeight w:val="28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B9E" w:rsidRPr="00BA4B15" w:rsidRDefault="00450B9E" w:rsidP="00F94CCE">
            <w:pPr>
              <w:spacing w:before="0"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BA4B15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Uniwersalny wyłącznik różnicowo-prądowy (RCMU)</w:t>
            </w:r>
          </w:p>
        </w:tc>
      </w:tr>
      <w:tr w:rsidR="00450B9E" w:rsidRPr="00BA4B15" w:rsidTr="003C2D99">
        <w:trPr>
          <w:trHeight w:val="28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B9E" w:rsidRPr="00BA4B15" w:rsidRDefault="00450B9E" w:rsidP="00F94CCE">
            <w:pPr>
              <w:spacing w:before="0"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BA4B15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Waga &lt;40kg</w:t>
            </w:r>
          </w:p>
        </w:tc>
      </w:tr>
      <w:tr w:rsidR="00450B9E" w:rsidRPr="00BA4B15" w:rsidTr="003C2D99">
        <w:trPr>
          <w:trHeight w:val="28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B9E" w:rsidRPr="00BA4B15" w:rsidRDefault="001A691A" w:rsidP="00F94CCE">
            <w:pPr>
              <w:spacing w:before="0"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Zakres temperatur pracy od -40</w:t>
            </w:r>
            <w:r w:rsidR="00450B9E" w:rsidRPr="00BA4B15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°C do +60 °C</w:t>
            </w:r>
          </w:p>
        </w:tc>
      </w:tr>
      <w:tr w:rsidR="00450B9E" w:rsidRPr="00BA4B15" w:rsidTr="003C2D99">
        <w:trPr>
          <w:trHeight w:val="28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B9E" w:rsidRPr="00BA4B15" w:rsidRDefault="00450B9E" w:rsidP="00F94CCE">
            <w:pPr>
              <w:spacing w:before="0"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BA4B15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Poziom emisji hałasu - &lt;40dB</w:t>
            </w:r>
          </w:p>
        </w:tc>
      </w:tr>
      <w:tr w:rsidR="00450B9E" w:rsidRPr="00BA4B15" w:rsidTr="003C2D99">
        <w:trPr>
          <w:trHeight w:val="28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B9E" w:rsidRPr="00BA4B15" w:rsidRDefault="00450B9E" w:rsidP="00F94CCE">
            <w:pPr>
              <w:spacing w:before="0"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BA4B15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 xml:space="preserve">Zużycie </w:t>
            </w:r>
            <w:proofErr w:type="spellStart"/>
            <w:r w:rsidRPr="00BA4B15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energi</w:t>
            </w:r>
            <w:proofErr w:type="spellEnd"/>
            <w:r w:rsidRPr="00BA4B15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 xml:space="preserve"> nocą - &lt; 1W</w:t>
            </w:r>
          </w:p>
        </w:tc>
      </w:tr>
      <w:tr w:rsidR="00450B9E" w:rsidRPr="00BA4B15" w:rsidTr="003C2D99">
        <w:trPr>
          <w:trHeight w:val="28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B9E" w:rsidRPr="00BA4B15" w:rsidRDefault="00450B9E" w:rsidP="00F94CCE">
            <w:pPr>
              <w:spacing w:before="0"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BA4B15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lastRenderedPageBreak/>
              <w:t xml:space="preserve">Stopień </w:t>
            </w:r>
            <w:proofErr w:type="spellStart"/>
            <w:r w:rsidRPr="00BA4B15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ochorny</w:t>
            </w:r>
            <w:proofErr w:type="spellEnd"/>
            <w:r w:rsidRPr="00BA4B15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 xml:space="preserve"> wg. IEC 60529 - IP21</w:t>
            </w:r>
          </w:p>
        </w:tc>
      </w:tr>
      <w:tr w:rsidR="00450B9E" w:rsidRPr="00BA4B15" w:rsidTr="003C2D99">
        <w:trPr>
          <w:trHeight w:val="28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B9E" w:rsidRPr="00BA4B15" w:rsidRDefault="00450B9E" w:rsidP="00F94CCE">
            <w:pPr>
              <w:spacing w:before="0"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BA4B15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Komunikacja Ethernet</w:t>
            </w:r>
          </w:p>
        </w:tc>
      </w:tr>
      <w:tr w:rsidR="00450B9E" w:rsidRPr="00BA4B15" w:rsidTr="003C2D99">
        <w:trPr>
          <w:trHeight w:val="28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B9E" w:rsidRPr="00BA4B15" w:rsidRDefault="00450B9E" w:rsidP="00F94CCE">
            <w:pPr>
              <w:spacing w:before="0"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BA4B15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Wyświetlacz graficzny w j. Polskim</w:t>
            </w:r>
          </w:p>
        </w:tc>
      </w:tr>
      <w:tr w:rsidR="00450B9E" w:rsidRPr="00BA4B15" w:rsidTr="003C2D99">
        <w:trPr>
          <w:trHeight w:val="28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B9E" w:rsidRPr="00BA4B15" w:rsidRDefault="00450B9E" w:rsidP="00F94CCE">
            <w:pPr>
              <w:spacing w:before="0"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BA4B15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Monitorowanie instalacji przez aplikację mobilną</w:t>
            </w:r>
          </w:p>
        </w:tc>
      </w:tr>
      <w:tr w:rsidR="00450B9E" w:rsidRPr="00BA4B15" w:rsidTr="003C2D99">
        <w:trPr>
          <w:trHeight w:val="28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B9E" w:rsidRPr="00BA4B15" w:rsidRDefault="00450B9E" w:rsidP="00F94CCE">
            <w:pPr>
              <w:spacing w:before="0"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BA4B15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Monitorowanie instalacji przez portal internetowy</w:t>
            </w:r>
          </w:p>
        </w:tc>
      </w:tr>
      <w:tr w:rsidR="00450B9E" w:rsidRPr="00BA4B15" w:rsidTr="003C2D99">
        <w:trPr>
          <w:trHeight w:val="28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B9E" w:rsidRPr="00BA4B15" w:rsidRDefault="00450B9E" w:rsidP="00F94CCE">
            <w:pPr>
              <w:spacing w:before="0"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BA4B15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Deklaracja zgodności WE</w:t>
            </w:r>
          </w:p>
        </w:tc>
      </w:tr>
      <w:tr w:rsidR="00450B9E" w:rsidRPr="00BA4B15" w:rsidTr="003C2D99">
        <w:trPr>
          <w:trHeight w:val="78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B9E" w:rsidRPr="00BA4B15" w:rsidRDefault="00450B9E" w:rsidP="00F94CCE">
            <w:pPr>
              <w:spacing w:before="0"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BA4B15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Deklaracja zgodności na kompatybilność elektromagnetyczną zgodna z obowiązującą dyrektywą 2014/30/UE</w:t>
            </w:r>
          </w:p>
        </w:tc>
      </w:tr>
      <w:tr w:rsidR="00450B9E" w:rsidRPr="00BA4B15" w:rsidTr="003C2D99">
        <w:trPr>
          <w:trHeight w:val="52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B9E" w:rsidRPr="00BA4B15" w:rsidRDefault="00450B9E" w:rsidP="00F94CCE">
            <w:pPr>
              <w:spacing w:before="0"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BA4B15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Deklaracja zgodności z obowiązującą dyrektywą niskonapięciową 2014/35/UE</w:t>
            </w:r>
          </w:p>
        </w:tc>
      </w:tr>
      <w:tr w:rsidR="00450B9E" w:rsidRPr="00BA4B15" w:rsidTr="003C2D99">
        <w:trPr>
          <w:trHeight w:val="28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B9E" w:rsidRPr="00BA4B15" w:rsidRDefault="00450B9E" w:rsidP="00F94CCE">
            <w:pPr>
              <w:spacing w:before="0"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BA4B15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Certyfikat zgodności z normą EN 50438</w:t>
            </w:r>
          </w:p>
        </w:tc>
      </w:tr>
      <w:tr w:rsidR="00450B9E" w:rsidRPr="00BA4B15" w:rsidTr="003C2D99">
        <w:trPr>
          <w:trHeight w:val="28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B9E" w:rsidRPr="00BA4B15" w:rsidRDefault="00450B9E" w:rsidP="00F94CCE">
            <w:pPr>
              <w:spacing w:before="0"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BA4B15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Deklaracja kompatybilności elektromagnetycznej</w:t>
            </w:r>
          </w:p>
        </w:tc>
      </w:tr>
      <w:tr w:rsidR="00450B9E" w:rsidRPr="00BA4B15" w:rsidTr="003C2D99">
        <w:trPr>
          <w:trHeight w:val="52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0B9E" w:rsidRDefault="00450B9E" w:rsidP="00F94CCE">
            <w:pPr>
              <w:spacing w:before="0"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 w:rsidRPr="00BA4B15"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Wyprodukowany na terenie UE nie wcześniej niż w roku 2016</w:t>
            </w:r>
          </w:p>
          <w:p w:rsidR="001A691A" w:rsidRDefault="001A691A" w:rsidP="00F94CCE">
            <w:pPr>
              <w:spacing w:before="0"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  <w:r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  <w:t>Obsługa 3 fazy</w:t>
            </w:r>
          </w:p>
          <w:p w:rsidR="001A691A" w:rsidRDefault="001A691A" w:rsidP="001A691A">
            <w:pPr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Partner serwisowy ( serwis producenta) dla falowników dostępny w Polsce</w:t>
            </w:r>
          </w:p>
          <w:p w:rsidR="001A691A" w:rsidRPr="00BA4B15" w:rsidRDefault="001A691A" w:rsidP="00F94CCE">
            <w:pPr>
              <w:spacing w:before="0" w:after="0" w:line="240" w:lineRule="auto"/>
              <w:rPr>
                <w:rFonts w:asciiTheme="majorHAnsi" w:eastAsia="Times New Roman" w:hAnsiTheme="majorHAnsi" w:cs="Arial"/>
                <w:color w:val="000000"/>
                <w:sz w:val="16"/>
                <w:szCs w:val="16"/>
              </w:rPr>
            </w:pPr>
          </w:p>
        </w:tc>
      </w:tr>
    </w:tbl>
    <w:p w:rsidR="00A00C13" w:rsidRDefault="00A00C13"/>
    <w:sectPr w:rsidR="00A00C13" w:rsidSect="003C2D99"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3726" w:rsidRDefault="00733726" w:rsidP="003C2D99">
      <w:pPr>
        <w:spacing w:before="0" w:after="0" w:line="240" w:lineRule="auto"/>
      </w:pPr>
      <w:r>
        <w:separator/>
      </w:r>
    </w:p>
  </w:endnote>
  <w:endnote w:type="continuationSeparator" w:id="0">
    <w:p w:rsidR="00733726" w:rsidRDefault="00733726" w:rsidP="003C2D9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3726" w:rsidRDefault="00733726" w:rsidP="003C2D99">
      <w:pPr>
        <w:spacing w:before="0" w:after="0" w:line="240" w:lineRule="auto"/>
      </w:pPr>
      <w:r>
        <w:separator/>
      </w:r>
    </w:p>
  </w:footnote>
  <w:footnote w:type="continuationSeparator" w:id="0">
    <w:p w:rsidR="00733726" w:rsidRDefault="00733726" w:rsidP="003C2D99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B9E"/>
    <w:rsid w:val="001A691A"/>
    <w:rsid w:val="003C2D99"/>
    <w:rsid w:val="00402015"/>
    <w:rsid w:val="00450B9E"/>
    <w:rsid w:val="00733726"/>
    <w:rsid w:val="009D4C3D"/>
    <w:rsid w:val="00A00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50B9E"/>
    <w:pPr>
      <w:spacing w:before="100" w:after="200" w:line="276" w:lineRule="auto"/>
    </w:pPr>
    <w:rPr>
      <w:rFonts w:eastAsiaTheme="minorEastAsia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C2D99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C2D99"/>
    <w:rPr>
      <w:rFonts w:eastAsiaTheme="minorEastAsia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C2D99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C2D99"/>
    <w:rPr>
      <w:rFonts w:eastAsiaTheme="minorEastAsia"/>
      <w:sz w:val="20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50B9E"/>
    <w:pPr>
      <w:spacing w:before="100" w:after="200" w:line="276" w:lineRule="auto"/>
    </w:pPr>
    <w:rPr>
      <w:rFonts w:eastAsiaTheme="minorEastAsia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C2D99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C2D99"/>
    <w:rPr>
      <w:rFonts w:eastAsiaTheme="minorEastAsia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C2D99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C2D99"/>
    <w:rPr>
      <w:rFonts w:eastAsiaTheme="minorEastAsia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487</Words>
  <Characters>2923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Włodzimierz Osiecki</cp:lastModifiedBy>
  <cp:revision>8</cp:revision>
  <dcterms:created xsi:type="dcterms:W3CDTF">2018-02-22T08:07:00Z</dcterms:created>
  <dcterms:modified xsi:type="dcterms:W3CDTF">2018-02-26T08:16:00Z</dcterms:modified>
</cp:coreProperties>
</file>